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C2246" w14:textId="77777777" w:rsidR="003042AA" w:rsidRPr="003042AA" w:rsidRDefault="003042AA" w:rsidP="003042AA">
      <w:pPr>
        <w:spacing w:after="210" w:line="660" w:lineRule="atLeast"/>
        <w:textAlignment w:val="baseline"/>
        <w:outlineLvl w:val="0"/>
        <w:rPr>
          <w:rFonts w:eastAsia="Times New Roman" w:cstheme="minorHAnsi"/>
          <w:b/>
          <w:bCs/>
          <w:spacing w:val="-11"/>
          <w:kern w:val="36"/>
          <w:lang w:eastAsia="es-ES"/>
          <w14:ligatures w14:val="none"/>
        </w:rPr>
      </w:pPr>
      <w:r w:rsidRPr="003042AA">
        <w:rPr>
          <w:rFonts w:eastAsia="Times New Roman" w:cstheme="minorHAnsi"/>
          <w:b/>
          <w:bCs/>
          <w:spacing w:val="-11"/>
          <w:kern w:val="36"/>
          <w:lang w:eastAsia="es-ES"/>
          <w14:ligatures w14:val="none"/>
        </w:rPr>
        <w:t>Conectividad, talento y capital permiten a América Latina acelerar en la carrera digital</w:t>
      </w:r>
    </w:p>
    <w:p w14:paraId="2C4BBE28" w14:textId="77777777" w:rsidR="003042AA" w:rsidRPr="003042AA" w:rsidRDefault="003042AA" w:rsidP="003042AA">
      <w:pPr>
        <w:spacing w:after="105" w:line="300" w:lineRule="atLeast"/>
        <w:textAlignment w:val="baseline"/>
        <w:outlineLvl w:val="1"/>
        <w:rPr>
          <w:rFonts w:eastAsia="Times New Roman" w:cstheme="minorHAnsi"/>
          <w:b/>
          <w:bCs/>
          <w:spacing w:val="-8"/>
          <w:kern w:val="0"/>
          <w:lang w:eastAsia="es-ES"/>
          <w14:ligatures w14:val="none"/>
        </w:rPr>
      </w:pPr>
      <w:r w:rsidRPr="003042AA">
        <w:rPr>
          <w:rFonts w:eastAsia="Times New Roman" w:cstheme="minorHAnsi"/>
          <w:b/>
          <w:bCs/>
          <w:spacing w:val="-8"/>
          <w:kern w:val="0"/>
          <w:lang w:eastAsia="es-ES"/>
          <w14:ligatures w14:val="none"/>
        </w:rPr>
        <w:t>Pese a desafíos persistentes económicos y políticos, la región es una de las más conectadas a Internet del mundo y con una gran adopción de la inteligencia artificial entre ciudadanos y empresas. </w:t>
      </w:r>
    </w:p>
    <w:p w14:paraId="70CADF7E" w14:textId="77777777" w:rsidR="003042AA" w:rsidRPr="003042AA" w:rsidRDefault="003042AA" w:rsidP="003042AA">
      <w:pPr>
        <w:spacing w:after="0" w:line="300" w:lineRule="atLeast"/>
        <w:textAlignment w:val="baseline"/>
        <w:outlineLvl w:val="1"/>
        <w:rPr>
          <w:rFonts w:eastAsia="Times New Roman" w:cstheme="minorHAnsi"/>
          <w:b/>
          <w:bCs/>
          <w:spacing w:val="-8"/>
          <w:kern w:val="0"/>
          <w:lang w:eastAsia="es-ES"/>
          <w14:ligatures w14:val="none"/>
        </w:rPr>
      </w:pPr>
      <w:r w:rsidRPr="003042AA">
        <w:rPr>
          <w:rFonts w:eastAsia="Times New Roman" w:cstheme="minorHAnsi"/>
          <w:b/>
          <w:bCs/>
          <w:spacing w:val="-8"/>
          <w:kern w:val="0"/>
          <w:lang w:eastAsia="es-ES"/>
          <w14:ligatures w14:val="none"/>
        </w:rPr>
        <w:t>Más información: </w:t>
      </w:r>
      <w:hyperlink r:id="rId4" w:history="1">
        <w:r w:rsidRPr="003042AA">
          <w:rPr>
            <w:rFonts w:eastAsia="Times New Roman" w:cstheme="minorHAnsi"/>
            <w:b/>
            <w:bCs/>
            <w:color w:val="58A4B0"/>
            <w:spacing w:val="-8"/>
            <w:kern w:val="0"/>
            <w:bdr w:val="none" w:sz="0" w:space="0" w:color="auto" w:frame="1"/>
            <w:lang w:eastAsia="es-ES"/>
            <w14:ligatures w14:val="none"/>
          </w:rPr>
          <w:t>Las startups de Latam abrazan la IA con la productividad al alza y una reducción récord de costes tras su adopción</w:t>
        </w:r>
      </w:hyperlink>
      <w:r w:rsidRPr="003042AA">
        <w:rPr>
          <w:rFonts w:eastAsia="Times New Roman" w:cstheme="minorHAnsi"/>
          <w:b/>
          <w:bCs/>
          <w:spacing w:val="-8"/>
          <w:kern w:val="0"/>
          <w:lang w:eastAsia="es-ES"/>
          <w14:ligatures w14:val="none"/>
        </w:rPr>
        <w:t>.</w:t>
      </w:r>
    </w:p>
    <w:p w14:paraId="31ECD23F" w14:textId="77777777" w:rsidR="003042AA" w:rsidRPr="003042AA" w:rsidRDefault="003042AA" w:rsidP="003042AA">
      <w:pPr>
        <w:shd w:val="clear" w:color="auto" w:fill="FFF0E5"/>
        <w:spacing w:after="0" w:line="270" w:lineRule="atLeast"/>
        <w:textAlignment w:val="baseline"/>
        <w:rPr>
          <w:rFonts w:eastAsia="Times New Roman" w:cstheme="minorHAnsi"/>
          <w:color w:val="000000"/>
          <w:kern w:val="0"/>
          <w:lang w:eastAsia="es-ES"/>
          <w14:ligatures w14:val="none"/>
        </w:rPr>
      </w:pPr>
      <w:hyperlink r:id="rId5" w:history="1">
        <w:r w:rsidRPr="003042AA">
          <w:rPr>
            <w:rFonts w:eastAsia="Times New Roman" w:cstheme="minorHAnsi"/>
            <w:b/>
            <w:bCs/>
            <w:color w:val="58A4B0"/>
            <w:kern w:val="0"/>
            <w:bdr w:val="none" w:sz="0" w:space="0" w:color="auto" w:frame="1"/>
            <w:lang w:eastAsia="es-ES"/>
            <w14:ligatures w14:val="none"/>
          </w:rPr>
          <w:t>Mar Carpena</w:t>
        </w:r>
      </w:hyperlink>
    </w:p>
    <w:p w14:paraId="654A7CE6" w14:textId="77777777" w:rsidR="003042AA" w:rsidRPr="003042AA" w:rsidRDefault="003042AA" w:rsidP="003042AA">
      <w:pPr>
        <w:shd w:val="clear" w:color="auto" w:fill="FFF0E5"/>
        <w:spacing w:after="0" w:line="270" w:lineRule="atLeast"/>
        <w:textAlignment w:val="baseline"/>
        <w:rPr>
          <w:rFonts w:eastAsia="Times New Roman" w:cstheme="minorHAnsi"/>
          <w:color w:val="868686"/>
          <w:kern w:val="0"/>
          <w:lang w:eastAsia="es-ES"/>
          <w14:ligatures w14:val="none"/>
        </w:rPr>
      </w:pPr>
      <w:r w:rsidRPr="003042AA">
        <w:rPr>
          <w:rFonts w:eastAsia="Times New Roman" w:cstheme="minorHAnsi"/>
          <w:color w:val="868686"/>
          <w:kern w:val="0"/>
          <w:bdr w:val="none" w:sz="0" w:space="0" w:color="auto" w:frame="1"/>
          <w:lang w:eastAsia="es-ES"/>
          <w14:ligatures w14:val="none"/>
        </w:rPr>
        <w:t>Publicada24 septiembre 202501:34h</w:t>
      </w:r>
    </w:p>
    <w:p w14:paraId="75A65E5D" w14:textId="77777777" w:rsidR="003042AA" w:rsidRPr="003042AA" w:rsidRDefault="003042AA" w:rsidP="003042AA">
      <w:pPr>
        <w:shd w:val="clear" w:color="auto" w:fill="FFF0E5"/>
        <w:spacing w:after="0" w:line="435" w:lineRule="atLeast"/>
        <w:textAlignment w:val="baseline"/>
        <w:rPr>
          <w:rFonts w:eastAsia="Times New Roman" w:cstheme="minorHAnsi"/>
          <w:color w:val="191A1E"/>
          <w:kern w:val="0"/>
          <w:lang w:eastAsia="es-ES"/>
          <w14:ligatures w14:val="none"/>
        </w:rPr>
      </w:pPr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t>Con </w:t>
      </w:r>
      <w:r w:rsidRPr="003042AA">
        <w:rPr>
          <w:rFonts w:eastAsia="Times New Roman" w:cstheme="minorHAnsi"/>
          <w:b/>
          <w:bCs/>
          <w:color w:val="191A1E"/>
          <w:kern w:val="0"/>
          <w:bdr w:val="none" w:sz="0" w:space="0" w:color="auto" w:frame="1"/>
          <w:lang w:eastAsia="es-ES"/>
          <w14:ligatures w14:val="none"/>
        </w:rPr>
        <w:t>casi 700 millones de personas</w:t>
      </w:r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t>, América Latina es una región que año a año crece  económicamente; de hecho su Producto Interior Bruto o GDP (Gross Domestic Product en inglés) creció en el último año un 5,4 por ciento. Crecimiento que, tal vez, es el que estaría llevando a la región a entrar en una nueva era de </w:t>
      </w:r>
      <w:hyperlink r:id="rId6" w:history="1">
        <w:r w:rsidRPr="003042AA">
          <w:rPr>
            <w:rFonts w:eastAsia="Times New Roman" w:cstheme="minorHAnsi"/>
            <w:color w:val="58A4B0"/>
            <w:kern w:val="0"/>
            <w:bdr w:val="none" w:sz="0" w:space="0" w:color="auto" w:frame="1"/>
            <w:lang w:eastAsia="es-ES"/>
            <w14:ligatures w14:val="none"/>
          </w:rPr>
          <w:t>transformación digital </w:t>
        </w:r>
      </w:hyperlink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t>que podría redefinir su papel en la economía global.</w:t>
      </w:r>
    </w:p>
    <w:p w14:paraId="0A7F1BB0" w14:textId="77777777" w:rsidR="003042AA" w:rsidRPr="003042AA" w:rsidRDefault="003042AA" w:rsidP="003042AA">
      <w:pPr>
        <w:shd w:val="clear" w:color="auto" w:fill="FFF0E5"/>
        <w:spacing w:after="0" w:line="435" w:lineRule="atLeast"/>
        <w:textAlignment w:val="baseline"/>
        <w:rPr>
          <w:rFonts w:eastAsia="Times New Roman" w:cstheme="minorHAnsi"/>
          <w:color w:val="191A1E"/>
          <w:kern w:val="0"/>
          <w:lang w:eastAsia="es-ES"/>
          <w14:ligatures w14:val="none"/>
        </w:rPr>
      </w:pPr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t>Al menos así lo señala el Informe Digital 2025, realizado por el fondo de capital riesgo Atlántico en el que se afirma que “nunca antes la tecnología, la </w:t>
      </w:r>
      <w:hyperlink r:id="rId7" w:history="1">
        <w:r w:rsidRPr="003042AA">
          <w:rPr>
            <w:rFonts w:eastAsia="Times New Roman" w:cstheme="minorHAnsi"/>
            <w:color w:val="58A4B0"/>
            <w:kern w:val="0"/>
            <w:bdr w:val="none" w:sz="0" w:space="0" w:color="auto" w:frame="1"/>
            <w:lang w:eastAsia="es-ES"/>
            <w14:ligatures w14:val="none"/>
          </w:rPr>
          <w:t>regulación</w:t>
        </w:r>
      </w:hyperlink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t> y el capital se habían combinado como ahora para </w:t>
      </w:r>
      <w:r w:rsidRPr="003042AA">
        <w:rPr>
          <w:rFonts w:eastAsia="Times New Roman" w:cstheme="minorHAnsi"/>
          <w:b/>
          <w:bCs/>
          <w:color w:val="191A1E"/>
          <w:kern w:val="0"/>
          <w:bdr w:val="none" w:sz="0" w:space="0" w:color="auto" w:frame="1"/>
          <w:lang w:eastAsia="es-ES"/>
          <w14:ligatures w14:val="none"/>
        </w:rPr>
        <w:t>acelerar el ritmo la innovación</w:t>
      </w:r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t>” en la región.</w:t>
      </w:r>
    </w:p>
    <w:p w14:paraId="7C85E913" w14:textId="3B8100D6" w:rsidR="003042AA" w:rsidRPr="003042AA" w:rsidRDefault="003042AA" w:rsidP="003042AA">
      <w:pPr>
        <w:shd w:val="clear" w:color="auto" w:fill="FFF0E5"/>
        <w:spacing w:after="0" w:line="360" w:lineRule="atLeast"/>
        <w:jc w:val="center"/>
        <w:textAlignment w:val="baseline"/>
        <w:rPr>
          <w:rFonts w:eastAsia="Times New Roman" w:cstheme="minorHAnsi"/>
          <w:color w:val="191A1E"/>
          <w:kern w:val="0"/>
          <w:lang w:eastAsia="es-ES"/>
          <w14:ligatures w14:val="none"/>
        </w:rPr>
      </w:pPr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t>Entre otros aspectos, para realizar dicha afirmación desde Atlántico toma en cuenta por ejemplo que América Latina es una de las zonas más conectadas del mundo, con una </w:t>
      </w:r>
      <w:r w:rsidRPr="003042AA">
        <w:rPr>
          <w:rFonts w:eastAsia="Times New Roman" w:cstheme="minorHAnsi"/>
          <w:b/>
          <w:bCs/>
          <w:color w:val="191A1E"/>
          <w:kern w:val="0"/>
          <w:bdr w:val="none" w:sz="0" w:space="0" w:color="auto" w:frame="1"/>
          <w:lang w:eastAsia="es-ES"/>
          <w14:ligatures w14:val="none"/>
        </w:rPr>
        <w:t>penetración y conexión a Internet de entre el 75% y el 95%</w:t>
      </w:r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t> en los principales países en 2025.</w:t>
      </w:r>
    </w:p>
    <w:p w14:paraId="384B8AD8" w14:textId="77777777" w:rsidR="003042AA" w:rsidRPr="003042AA" w:rsidRDefault="003042AA" w:rsidP="003042AA">
      <w:pPr>
        <w:shd w:val="clear" w:color="auto" w:fill="FCE9D9"/>
        <w:spacing w:after="0" w:line="435" w:lineRule="atLeast"/>
        <w:jc w:val="center"/>
        <w:textAlignment w:val="baseline"/>
        <w:rPr>
          <w:rFonts w:eastAsia="Times New Roman" w:cstheme="minorHAnsi"/>
          <w:color w:val="000000"/>
          <w:kern w:val="0"/>
          <w:lang w:eastAsia="es-ES"/>
          <w14:ligatures w14:val="none"/>
        </w:rPr>
      </w:pPr>
      <w:r w:rsidRPr="003042AA">
        <w:rPr>
          <w:rFonts w:eastAsia="Times New Roman" w:cstheme="minorHAnsi"/>
          <w:noProof/>
          <w:color w:val="000000"/>
          <w:kern w:val="0"/>
          <w:lang w:eastAsia="es-ES"/>
          <w14:ligatures w14:val="none"/>
        </w:rPr>
        <w:drawing>
          <wp:inline distT="0" distB="0" distL="0" distR="0" wp14:anchorId="4A0F5691" wp14:editId="4978DAE8">
            <wp:extent cx="3048000" cy="1714500"/>
            <wp:effectExtent l="0" t="0" r="0" b="0"/>
            <wp:docPr id="5" name="Imatge 2" descr="1003743882118_257910591_1706x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003743882118_257910591_1706x96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A4D92" w14:textId="77777777" w:rsidR="003042AA" w:rsidRPr="003042AA" w:rsidRDefault="003042AA" w:rsidP="003042AA">
      <w:pPr>
        <w:shd w:val="clear" w:color="auto" w:fill="FCE9D9"/>
        <w:spacing w:after="0" w:line="435" w:lineRule="atLeast"/>
        <w:textAlignment w:val="baseline"/>
        <w:rPr>
          <w:rFonts w:eastAsia="Times New Roman" w:cstheme="minorHAnsi"/>
          <w:color w:val="000000"/>
          <w:kern w:val="0"/>
          <w:lang w:eastAsia="es-ES"/>
          <w14:ligatures w14:val="none"/>
        </w:rPr>
      </w:pPr>
      <w:hyperlink r:id="rId9" w:history="1">
        <w:r w:rsidRPr="003042AA">
          <w:rPr>
            <w:rFonts w:eastAsia="Times New Roman" w:cstheme="minorHAnsi"/>
            <w:i/>
            <w:iCs/>
            <w:color w:val="191A1E"/>
            <w:kern w:val="0"/>
            <w:bdr w:val="none" w:sz="0" w:space="0" w:color="auto" w:frame="1"/>
            <w:lang w:eastAsia="es-ES"/>
            <w14:ligatures w14:val="none"/>
          </w:rPr>
          <w:t>La banca latinoamericana abraza la digitalización como diferencia competitiva</w:t>
        </w:r>
      </w:hyperlink>
    </w:p>
    <w:p w14:paraId="1D1EB05C" w14:textId="77777777" w:rsidR="003042AA" w:rsidRPr="003042AA" w:rsidRDefault="003042AA" w:rsidP="003042AA">
      <w:pPr>
        <w:shd w:val="clear" w:color="auto" w:fill="FFF0E5"/>
        <w:spacing w:after="0" w:line="435" w:lineRule="atLeast"/>
        <w:textAlignment w:val="baseline"/>
        <w:rPr>
          <w:rFonts w:eastAsia="Times New Roman" w:cstheme="minorHAnsi"/>
          <w:color w:val="191A1E"/>
          <w:kern w:val="0"/>
          <w:lang w:eastAsia="es-ES"/>
          <w14:ligatures w14:val="none"/>
        </w:rPr>
      </w:pPr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t>Los latinoamericanos pasan </w:t>
      </w:r>
      <w:r w:rsidRPr="003042AA">
        <w:rPr>
          <w:rFonts w:eastAsia="Times New Roman" w:cstheme="minorHAnsi"/>
          <w:b/>
          <w:bCs/>
          <w:color w:val="191A1E"/>
          <w:kern w:val="0"/>
          <w:bdr w:val="none" w:sz="0" w:space="0" w:color="auto" w:frame="1"/>
          <w:lang w:eastAsia="es-ES"/>
          <w14:ligatures w14:val="none"/>
        </w:rPr>
        <w:t>más de 8 horas de media conectados</w:t>
      </w:r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t>, con los brasileños a la cabeza con 9,2 horas de conexión diaria a Internet, lo que supera a los ciudadanos en Estados Unidos (6,7 horas) y China (5,6), según el informe.</w:t>
      </w:r>
    </w:p>
    <w:p w14:paraId="38AE74AC" w14:textId="29B03456" w:rsidR="003042AA" w:rsidRPr="003042AA" w:rsidRDefault="003042AA" w:rsidP="003042AA">
      <w:pPr>
        <w:shd w:val="clear" w:color="auto" w:fill="FFF0E5"/>
        <w:spacing w:after="0" w:line="435" w:lineRule="atLeast"/>
        <w:textAlignment w:val="baseline"/>
        <w:rPr>
          <w:rFonts w:eastAsia="Times New Roman" w:cstheme="minorHAnsi"/>
          <w:color w:val="000000"/>
          <w:kern w:val="0"/>
          <w:lang w:eastAsia="es-ES"/>
          <w14:ligatures w14:val="none"/>
        </w:rPr>
      </w:pPr>
      <w:r w:rsidRPr="003042AA">
        <w:rPr>
          <w:rFonts w:eastAsia="Times New Roman" w:cstheme="minorHAnsi"/>
          <w:color w:val="000000"/>
          <w:kern w:val="0"/>
          <w:lang w:eastAsia="es-ES"/>
          <w14:ligatures w14:val="none"/>
        </w:rPr>
        <w:t xml:space="preserve"> </w:t>
      </w:r>
    </w:p>
    <w:p w14:paraId="17BECD78" w14:textId="77777777" w:rsidR="003042AA" w:rsidRPr="003042AA" w:rsidRDefault="003042AA" w:rsidP="003042AA">
      <w:pPr>
        <w:shd w:val="clear" w:color="auto" w:fill="FFF0E5"/>
        <w:spacing w:after="0" w:line="435" w:lineRule="atLeast"/>
        <w:textAlignment w:val="baseline"/>
        <w:rPr>
          <w:rFonts w:eastAsia="Times New Roman" w:cstheme="minorHAnsi"/>
          <w:color w:val="191A1E"/>
          <w:kern w:val="0"/>
          <w:lang w:eastAsia="es-ES"/>
          <w14:ligatures w14:val="none"/>
        </w:rPr>
      </w:pPr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t xml:space="preserve">También Brasil es protagonista de esta digitalización ya que en el país 4 de cada 5 adultos ya tienen una identidad digital verificable y el 80 por ciento de la población cuenta con </w:t>
      </w:r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lastRenderedPageBreak/>
        <w:t>una </w:t>
      </w:r>
      <w:r w:rsidRPr="003042AA">
        <w:rPr>
          <w:rFonts w:eastAsia="Times New Roman" w:cstheme="minorHAnsi"/>
          <w:b/>
          <w:bCs/>
          <w:color w:val="191A1E"/>
          <w:kern w:val="0"/>
          <w:bdr w:val="none" w:sz="0" w:space="0" w:color="auto" w:frame="1"/>
          <w:lang w:eastAsia="es-ES"/>
          <w14:ligatures w14:val="none"/>
        </w:rPr>
        <w:t>identidad digital verificada</w:t>
      </w:r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t> en la plataforma Gov.br, lo que pronto les permitirá interoperar con bancos y fintechs.</w:t>
      </w:r>
    </w:p>
    <w:p w14:paraId="0DDD260D" w14:textId="77777777" w:rsidR="003042AA" w:rsidRPr="003042AA" w:rsidRDefault="003042AA" w:rsidP="003042AA">
      <w:pPr>
        <w:shd w:val="clear" w:color="auto" w:fill="FFF0E5"/>
        <w:spacing w:after="210" w:line="480" w:lineRule="atLeast"/>
        <w:textAlignment w:val="baseline"/>
        <w:outlineLvl w:val="2"/>
        <w:rPr>
          <w:rFonts w:eastAsia="Times New Roman" w:cstheme="minorHAnsi"/>
          <w:b/>
          <w:bCs/>
          <w:color w:val="191A1E"/>
          <w:spacing w:val="-8"/>
          <w:kern w:val="0"/>
          <w:lang w:eastAsia="es-ES"/>
          <w14:ligatures w14:val="none"/>
        </w:rPr>
      </w:pPr>
      <w:r w:rsidRPr="003042AA">
        <w:rPr>
          <w:rFonts w:eastAsia="Times New Roman" w:cstheme="minorHAnsi"/>
          <w:b/>
          <w:bCs/>
          <w:color w:val="191A1E"/>
          <w:spacing w:val="-8"/>
          <w:kern w:val="0"/>
          <w:lang w:eastAsia="es-ES"/>
          <w14:ligatures w14:val="none"/>
        </w:rPr>
        <w:t>Rápida adopción de la inteligencia artificial</w:t>
      </w:r>
    </w:p>
    <w:p w14:paraId="78096FB3" w14:textId="77777777" w:rsidR="003042AA" w:rsidRPr="003042AA" w:rsidRDefault="003042AA" w:rsidP="003042AA">
      <w:pPr>
        <w:shd w:val="clear" w:color="auto" w:fill="FFF0E5"/>
        <w:spacing w:after="0" w:line="435" w:lineRule="atLeast"/>
        <w:textAlignment w:val="baseline"/>
        <w:rPr>
          <w:rFonts w:eastAsia="Times New Roman" w:cstheme="minorHAnsi"/>
          <w:color w:val="191A1E"/>
          <w:kern w:val="0"/>
          <w:lang w:eastAsia="es-ES"/>
          <w14:ligatures w14:val="none"/>
        </w:rPr>
      </w:pPr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t>Todos estos datos podrían explicar la </w:t>
      </w:r>
      <w:r w:rsidRPr="003042AA">
        <w:rPr>
          <w:rFonts w:eastAsia="Times New Roman" w:cstheme="minorHAnsi"/>
          <w:b/>
          <w:bCs/>
          <w:color w:val="191A1E"/>
          <w:kern w:val="0"/>
          <w:bdr w:val="none" w:sz="0" w:space="0" w:color="auto" w:frame="1"/>
          <w:lang w:eastAsia="es-ES"/>
          <w14:ligatures w14:val="none"/>
        </w:rPr>
        <w:t>rápida integración de la inteligencia artificial (IA) en la vida diaria de los latinoamericanos</w:t>
      </w:r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t>; más del 40% de los usuarios en Brasil y México la utilizan cada semana y el uso de ChatGPT en la región se encuentra entre los más altos del mundo, de nuevo con los brasileños (25 por ciento de la población) y los mexicanos (20 por ciento de ellos) liderando el uso de esta herramienta.</w:t>
      </w:r>
    </w:p>
    <w:p w14:paraId="1D0F21F6" w14:textId="77777777" w:rsidR="003042AA" w:rsidRPr="003042AA" w:rsidRDefault="003042AA" w:rsidP="003042AA">
      <w:pPr>
        <w:shd w:val="clear" w:color="auto" w:fill="FFF0E5"/>
        <w:spacing w:after="0" w:line="435" w:lineRule="atLeast"/>
        <w:textAlignment w:val="baseline"/>
        <w:rPr>
          <w:rFonts w:eastAsia="Times New Roman" w:cstheme="minorHAnsi"/>
          <w:color w:val="191A1E"/>
          <w:kern w:val="0"/>
          <w:lang w:eastAsia="es-ES"/>
          <w14:ligatures w14:val="none"/>
        </w:rPr>
      </w:pPr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t>Esta utilización en el día a día está permitiendo que los ciudadanos vayan </w:t>
      </w:r>
      <w:r w:rsidRPr="003042AA">
        <w:rPr>
          <w:rFonts w:eastAsia="Times New Roman" w:cstheme="minorHAnsi"/>
          <w:b/>
          <w:bCs/>
          <w:color w:val="191A1E"/>
          <w:kern w:val="0"/>
          <w:bdr w:val="none" w:sz="0" w:space="0" w:color="auto" w:frame="1"/>
          <w:lang w:eastAsia="es-ES"/>
          <w14:ligatures w14:val="none"/>
        </w:rPr>
        <w:t>perdiendo el miedo inicial</w:t>
      </w:r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t> respecto a la IA, “adoptando una postura más neutral sobre su impacto en los empleos y la sociedad”, afirman desde Atlántico.</w:t>
      </w:r>
    </w:p>
    <w:p w14:paraId="68969EA0" w14:textId="77777777" w:rsidR="003042AA" w:rsidRPr="003042AA" w:rsidRDefault="003042AA" w:rsidP="003042AA">
      <w:pPr>
        <w:shd w:val="clear" w:color="auto" w:fill="FFF0E5"/>
        <w:spacing w:after="0" w:line="435" w:lineRule="atLeast"/>
        <w:textAlignment w:val="baseline"/>
        <w:rPr>
          <w:rFonts w:eastAsia="Times New Roman" w:cstheme="minorHAnsi"/>
          <w:color w:val="191A1E"/>
          <w:kern w:val="0"/>
          <w:lang w:eastAsia="es-ES"/>
          <w14:ligatures w14:val="none"/>
        </w:rPr>
      </w:pPr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t>La penetración de la IA entre las empresas no deja de crecer y así, según McKinsey, actualmente </w:t>
      </w:r>
      <w:r w:rsidRPr="003042AA">
        <w:rPr>
          <w:rFonts w:eastAsia="Times New Roman" w:cstheme="minorHAnsi"/>
          <w:b/>
          <w:bCs/>
          <w:color w:val="191A1E"/>
          <w:kern w:val="0"/>
          <w:bdr w:val="none" w:sz="0" w:space="0" w:color="auto" w:frame="1"/>
          <w:lang w:eastAsia="es-ES"/>
          <w14:ligatures w14:val="none"/>
        </w:rPr>
        <w:t>el 70% de empresas globales ya usan IA en al menos uno de sus procesos.</w:t>
      </w:r>
    </w:p>
    <w:p w14:paraId="75504C2B" w14:textId="77777777" w:rsidR="003042AA" w:rsidRPr="003042AA" w:rsidRDefault="003042AA" w:rsidP="003042AA">
      <w:pPr>
        <w:shd w:val="clear" w:color="auto" w:fill="FFF0E5"/>
        <w:spacing w:after="0" w:line="435" w:lineRule="atLeast"/>
        <w:textAlignment w:val="baseline"/>
        <w:rPr>
          <w:rFonts w:eastAsia="Times New Roman" w:cstheme="minorHAnsi"/>
          <w:color w:val="191A1E"/>
          <w:kern w:val="0"/>
          <w:lang w:eastAsia="es-ES"/>
          <w14:ligatures w14:val="none"/>
        </w:rPr>
      </w:pPr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t>Y, tras décadas de escasez de startups en la región, según Atlántico, esto ha cambiado y hoy son numerosas las empresas emergentes en la zona lo que </w:t>
      </w:r>
      <w:r w:rsidRPr="003042AA">
        <w:rPr>
          <w:rFonts w:eastAsia="Times New Roman" w:cstheme="minorHAnsi"/>
          <w:b/>
          <w:bCs/>
          <w:color w:val="191A1E"/>
          <w:kern w:val="0"/>
          <w:bdr w:val="none" w:sz="0" w:space="0" w:color="auto" w:frame="1"/>
          <w:lang w:eastAsia="es-ES"/>
          <w14:ligatures w14:val="none"/>
        </w:rPr>
        <w:t>atrae capital financiero</w:t>
      </w:r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t> y, lo que es más importante según el informe, esto permite la creación y atracción de un </w:t>
      </w:r>
      <w:r w:rsidRPr="003042AA">
        <w:rPr>
          <w:rFonts w:eastAsia="Times New Roman" w:cstheme="minorHAnsi"/>
          <w:b/>
          <w:bCs/>
          <w:color w:val="191A1E"/>
          <w:kern w:val="0"/>
          <w:bdr w:val="none" w:sz="0" w:space="0" w:color="auto" w:frame="1"/>
          <w:lang w:eastAsia="es-ES"/>
          <w14:ligatures w14:val="none"/>
        </w:rPr>
        <w:t>talento</w:t>
      </w:r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t> que a su vez atrae más capital.</w:t>
      </w:r>
    </w:p>
    <w:p w14:paraId="24870AFA" w14:textId="77777777" w:rsidR="003042AA" w:rsidRPr="003042AA" w:rsidRDefault="003042AA" w:rsidP="003042AA">
      <w:pPr>
        <w:shd w:val="clear" w:color="auto" w:fill="FFF0E5"/>
        <w:spacing w:after="0" w:line="435" w:lineRule="atLeast"/>
        <w:textAlignment w:val="baseline"/>
        <w:rPr>
          <w:rFonts w:eastAsia="Times New Roman" w:cstheme="minorHAnsi"/>
          <w:color w:val="191A1E"/>
          <w:kern w:val="0"/>
          <w:lang w:eastAsia="es-ES"/>
          <w14:ligatures w14:val="none"/>
        </w:rPr>
      </w:pPr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t>Un talento especialmente en el ámbito tecnológico y en el que </w:t>
      </w:r>
      <w:r w:rsidRPr="003042AA">
        <w:rPr>
          <w:rFonts w:eastAsia="Times New Roman" w:cstheme="minorHAnsi"/>
          <w:b/>
          <w:bCs/>
          <w:color w:val="191A1E"/>
          <w:kern w:val="0"/>
          <w:bdr w:val="none" w:sz="0" w:space="0" w:color="auto" w:frame="1"/>
          <w:lang w:eastAsia="es-ES"/>
          <w14:ligatures w14:val="none"/>
        </w:rPr>
        <w:t>la IA es un arma de doble filo</w:t>
      </w:r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t>: por un lado permite fortalecer el ecosistema, gracias a la formación de nuevos perfiles pero, al mismo tiempo, es un enorme desafío. Según Atlántico, aunque su aplicación permitirá una mayor productividad y una transformación del trabajo hacia tareas de alto valor, también podría implicar la reducción de entre el 10 y el 30 por ciento de las plantillas actuales de algunas compañías.</w:t>
      </w:r>
    </w:p>
    <w:p w14:paraId="6BBCEE50" w14:textId="77777777" w:rsidR="003042AA" w:rsidRPr="003042AA" w:rsidRDefault="003042AA" w:rsidP="003042AA">
      <w:pPr>
        <w:shd w:val="clear" w:color="auto" w:fill="FFF0E5"/>
        <w:spacing w:after="0" w:line="435" w:lineRule="atLeast"/>
        <w:textAlignment w:val="baseline"/>
        <w:rPr>
          <w:rFonts w:eastAsia="Times New Roman" w:cstheme="minorHAnsi"/>
          <w:color w:val="191A1E"/>
          <w:kern w:val="0"/>
          <w:lang w:eastAsia="es-ES"/>
          <w14:ligatures w14:val="none"/>
        </w:rPr>
      </w:pPr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t>En definitiva, pese a que siguen existiendo grandes retos en la región como la desigualdad o la fragilidad institucional con países como Argentina o Brasil enfrentando importantes desafíos económicos y políticos, América Latina ha logrado “poner fin a la fricción” y hoy se presenta como “</w:t>
      </w:r>
      <w:r w:rsidRPr="003042AA">
        <w:rPr>
          <w:rFonts w:eastAsia="Times New Roman" w:cstheme="minorHAnsi"/>
          <w:b/>
          <w:bCs/>
          <w:color w:val="191A1E"/>
          <w:kern w:val="0"/>
          <w:bdr w:val="none" w:sz="0" w:space="0" w:color="auto" w:frame="1"/>
          <w:lang w:eastAsia="es-ES"/>
          <w14:ligatures w14:val="none"/>
        </w:rPr>
        <w:t>un hub emergente de innovación global,</w:t>
      </w:r>
      <w:r w:rsidRPr="003042AA">
        <w:rPr>
          <w:rFonts w:eastAsia="Times New Roman" w:cstheme="minorHAnsi"/>
          <w:color w:val="191A1E"/>
          <w:kern w:val="0"/>
          <w:lang w:eastAsia="es-ES"/>
          <w14:ligatures w14:val="none"/>
        </w:rPr>
        <w:t> con el potencial de convertirse en protagonista de la economía digital en la próxima década”, afirman.</w:t>
      </w:r>
    </w:p>
    <w:p w14:paraId="20C5A73D" w14:textId="77777777" w:rsidR="00BD7DA3" w:rsidRDefault="00BD7DA3"/>
    <w:sectPr w:rsidR="00BD7D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2AA"/>
    <w:rsid w:val="002504B6"/>
    <w:rsid w:val="003042AA"/>
    <w:rsid w:val="007846E5"/>
    <w:rsid w:val="00B57A83"/>
    <w:rsid w:val="00BD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7BAC7"/>
  <w15:chartTrackingRefBased/>
  <w15:docId w15:val="{38BFFB3A-A326-4FC5-99B0-3191EAC70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3042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3042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3042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3042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3042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3042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3042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3042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3042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3042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3042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3042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3042AA"/>
    <w:rPr>
      <w:rFonts w:eastAsiaTheme="majorEastAsia" w:cstheme="majorBidi"/>
      <w:i/>
      <w:iCs/>
      <w:color w:val="2F5496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3042AA"/>
    <w:rPr>
      <w:rFonts w:eastAsiaTheme="majorEastAsia" w:cstheme="majorBidi"/>
      <w:color w:val="2F5496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3042AA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3042AA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3042AA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3042AA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3042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304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3042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3042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042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3042AA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3042AA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3042AA"/>
    <w:rPr>
      <w:i/>
      <w:iCs/>
      <w:color w:val="2F5496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3042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3042AA"/>
    <w:rPr>
      <w:i/>
      <w:iCs/>
      <w:color w:val="2F5496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3042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yperlink" Target="https://www.elespanol.com/invertia/disruptores/america-tech/colombia/20250904/etica-eje-legislacion-inteligencia-artificial-ultima-colombia/1003743907704_0.html?utm_cmp_rs=linksinline" TargetMode="Externa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lespanol.com/invertia/disruptores/america-tech/20250908/espana-impulsara-junto-america-latina-proteccion-derechos-digitales/1003743915976_0.html?utm_cmp_rs=linksinlin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elespanol.com/autor/mar-carpena/?utm_cmp_rs=authorpage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elespanol.com/invertia/disruptores/america-tech/20250731/startups-latam-abrazan-ia-productividad-alza-reduccion-record-costes-adopcion/1003743863503_0.html?utm_cmp_rs=subtitle" TargetMode="External"/><Relationship Id="rId9" Type="http://schemas.openxmlformats.org/officeDocument/2006/relationships/hyperlink" Target="https://www.elespanol.com/invertia/disruptores/america-tech/20250823/banca-latinoamericana-abraza-digitalizacion-diferencia-competitiva/1003743882081_0.html?utm_cmp_rs=relatednewsinline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6160A147312240BF807A6B65C79B2A" ma:contentTypeVersion="16" ma:contentTypeDescription="Crear nuevo documento." ma:contentTypeScope="" ma:versionID="69bbd4960e1a72c68a7474badd5d45ec">
  <xsd:schema xmlns:xsd="http://www.w3.org/2001/XMLSchema" xmlns:xs="http://www.w3.org/2001/XMLSchema" xmlns:p="http://schemas.microsoft.com/office/2006/metadata/properties" xmlns:ns2="cd707547-fd5d-4b1f-9b2a-cecbb1059f39" xmlns:ns3="40aa9bd1-0013-4606-8e2f-b782c9b742d3" targetNamespace="http://schemas.microsoft.com/office/2006/metadata/properties" ma:root="true" ma:fieldsID="5e33e1f22c1a45d62109438207d09f5b" ns2:_="" ns3:_="">
    <xsd:import namespace="cd707547-fd5d-4b1f-9b2a-cecbb1059f39"/>
    <xsd:import namespace="40aa9bd1-0013-4606-8e2f-b782c9b742d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07547-fd5d-4b1f-9b2a-cecbb1059f3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46cb574-daa1-4514-8e43-355e6206890d}" ma:internalName="TaxCatchAll" ma:showField="CatchAllData" ma:web="cd707547-fd5d-4b1f-9b2a-cecbb1059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a9bd1-0013-4606-8e2f-b782c9b74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9b323248-8137-403f-ba67-a133b00bf2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a9bd1-0013-4606-8e2f-b782c9b742d3">
      <Terms xmlns="http://schemas.microsoft.com/office/infopath/2007/PartnerControls"/>
    </lcf76f155ced4ddcb4097134ff3c332f>
    <TaxCatchAll xmlns="cd707547-fd5d-4b1f-9b2a-cecbb1059f39" xsi:nil="true"/>
  </documentManagement>
</p:properties>
</file>

<file path=customXml/itemProps1.xml><?xml version="1.0" encoding="utf-8"?>
<ds:datastoreItem xmlns:ds="http://schemas.openxmlformats.org/officeDocument/2006/customXml" ds:itemID="{726C7500-24D7-45A9-B38E-322BF984DB98}"/>
</file>

<file path=customXml/itemProps2.xml><?xml version="1.0" encoding="utf-8"?>
<ds:datastoreItem xmlns:ds="http://schemas.openxmlformats.org/officeDocument/2006/customXml" ds:itemID="{253CCC08-A29A-4C89-941E-B6DDEA986041}"/>
</file>

<file path=customXml/itemProps3.xml><?xml version="1.0" encoding="utf-8"?>
<ds:datastoreItem xmlns:ds="http://schemas.openxmlformats.org/officeDocument/2006/customXml" ds:itemID="{A0CF1A65-C73F-4883-ADD1-3DFBB73671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762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Jaume Gaytán</dc:creator>
  <cp:keywords/>
  <dc:description/>
  <cp:lastModifiedBy>Jaume Gaytán</cp:lastModifiedBy>
  <cp:revision>1</cp:revision>
  <cp:lastPrinted>2025-09-24T08:23:00Z</cp:lastPrinted>
  <dcterms:created xsi:type="dcterms:W3CDTF">2025-09-24T08:21:00Z</dcterms:created>
  <dcterms:modified xsi:type="dcterms:W3CDTF">2025-10-01T09:56:00Z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0x010100896160A147312240BF807A6B65C79B2A</vt:lpwstr>
  </property>
  <property fmtid="{D5CDD505-2E9C-101B-9397-08002B2CF9AE}" pid="3" name="MediaServiceImageTags">
    <vt:lpwstr/>
  </property>
</Properties>
</file>